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00F9" w14:textId="77777777" w:rsidR="00B26DA9" w:rsidRPr="00B26DA9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DA9">
        <w:rPr>
          <w:rFonts w:ascii="Times New Roman" w:hAnsi="Times New Roman" w:cs="Times New Roman"/>
          <w:sz w:val="24"/>
          <w:szCs w:val="24"/>
        </w:rPr>
        <w:t>PATVIRTINTINA:</w:t>
      </w:r>
    </w:p>
    <w:p w14:paraId="7ECC31DC" w14:textId="77777777" w:rsidR="00B26DA9" w:rsidRPr="00B26DA9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DA9">
        <w:rPr>
          <w:rFonts w:ascii="Times New Roman" w:hAnsi="Times New Roman" w:cs="Times New Roman"/>
          <w:sz w:val="24"/>
          <w:szCs w:val="24"/>
        </w:rPr>
        <w:t xml:space="preserve">Raseinių rajono vietos veiklos grupės          </w:t>
      </w:r>
    </w:p>
    <w:p w14:paraId="7AA1CA37" w14:textId="21B27744" w:rsidR="00B26DA9" w:rsidRPr="00B26DA9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DA9">
        <w:rPr>
          <w:rFonts w:ascii="Times New Roman" w:hAnsi="Times New Roman" w:cs="Times New Roman"/>
          <w:sz w:val="24"/>
          <w:szCs w:val="24"/>
        </w:rPr>
        <w:t xml:space="preserve">„Raseinių krašto </w:t>
      </w:r>
      <w:proofErr w:type="gramStart"/>
      <w:r w:rsidRPr="00B26DA9">
        <w:rPr>
          <w:rFonts w:ascii="Times New Roman" w:hAnsi="Times New Roman" w:cs="Times New Roman"/>
          <w:sz w:val="24"/>
          <w:szCs w:val="24"/>
        </w:rPr>
        <w:t>bendrija“ 202</w:t>
      </w:r>
      <w:r w:rsidR="00FA655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26DA9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2BD7A594" w14:textId="074EB162" w:rsidR="00B26DA9" w:rsidRPr="00B26DA9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DA9">
        <w:rPr>
          <w:rFonts w:ascii="Times New Roman" w:hAnsi="Times New Roman" w:cs="Times New Roman"/>
          <w:sz w:val="24"/>
          <w:szCs w:val="24"/>
        </w:rPr>
        <w:t>sausio 2</w:t>
      </w:r>
      <w:r w:rsidR="00640D0B">
        <w:rPr>
          <w:rFonts w:ascii="Times New Roman" w:hAnsi="Times New Roman" w:cs="Times New Roman"/>
          <w:sz w:val="24"/>
          <w:szCs w:val="24"/>
        </w:rPr>
        <w:t>5</w:t>
      </w:r>
      <w:r w:rsidRPr="00B26DA9">
        <w:rPr>
          <w:rFonts w:ascii="Times New Roman" w:hAnsi="Times New Roman" w:cs="Times New Roman"/>
          <w:sz w:val="24"/>
          <w:szCs w:val="24"/>
        </w:rPr>
        <w:t xml:space="preserve"> d. valdybos posėdžio</w:t>
      </w:r>
    </w:p>
    <w:p w14:paraId="2B87B422" w14:textId="238A409B" w:rsidR="00266B6C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DA9">
        <w:rPr>
          <w:rFonts w:ascii="Times New Roman" w:hAnsi="Times New Roman" w:cs="Times New Roman"/>
          <w:sz w:val="24"/>
          <w:szCs w:val="24"/>
        </w:rPr>
        <w:t xml:space="preserve">protokolu </w:t>
      </w:r>
      <w:r w:rsidRPr="00CA5DC7">
        <w:rPr>
          <w:rFonts w:ascii="Times New Roman" w:hAnsi="Times New Roman" w:cs="Times New Roman"/>
          <w:sz w:val="24"/>
          <w:szCs w:val="24"/>
        </w:rPr>
        <w:t>Nr. P-0</w:t>
      </w:r>
      <w:r w:rsidR="00640D0B">
        <w:rPr>
          <w:rFonts w:ascii="Times New Roman" w:hAnsi="Times New Roman" w:cs="Times New Roman"/>
          <w:sz w:val="24"/>
          <w:szCs w:val="24"/>
        </w:rPr>
        <w:t>2</w:t>
      </w:r>
    </w:p>
    <w:p w14:paraId="33EB928E" w14:textId="6F62237B" w:rsidR="00B26DA9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F813FB" w14:textId="2223460C" w:rsidR="00B26DA9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43073C" w14:textId="66B4507D" w:rsidR="00B26DA9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0BE20" w14:textId="1C0AAEFD" w:rsidR="00B26DA9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9567D" w14:textId="77777777" w:rsidR="00B26DA9" w:rsidRPr="00B26DA9" w:rsidRDefault="00B26DA9" w:rsidP="00B26D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DA9">
        <w:rPr>
          <w:rFonts w:ascii="Times New Roman" w:hAnsi="Times New Roman" w:cs="Times New Roman"/>
          <w:b/>
          <w:bCs/>
          <w:sz w:val="24"/>
          <w:szCs w:val="24"/>
        </w:rPr>
        <w:t>Raseinių rajono vietos veiklos grupės</w:t>
      </w:r>
    </w:p>
    <w:p w14:paraId="27EB6F0C" w14:textId="2F46D4E6" w:rsidR="00B26DA9" w:rsidRDefault="00B26DA9" w:rsidP="000A30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DA9">
        <w:rPr>
          <w:rFonts w:ascii="Times New Roman" w:hAnsi="Times New Roman" w:cs="Times New Roman"/>
          <w:b/>
          <w:bCs/>
          <w:sz w:val="24"/>
          <w:szCs w:val="24"/>
        </w:rPr>
        <w:t xml:space="preserve">„Raseinių krašto </w:t>
      </w:r>
      <w:proofErr w:type="gramStart"/>
      <w:r w:rsidRPr="00B26DA9">
        <w:rPr>
          <w:rFonts w:ascii="Times New Roman" w:hAnsi="Times New Roman" w:cs="Times New Roman"/>
          <w:b/>
          <w:bCs/>
          <w:sz w:val="24"/>
          <w:szCs w:val="24"/>
        </w:rPr>
        <w:t>bendrija“ 2021</w:t>
      </w:r>
      <w:proofErr w:type="gramEnd"/>
      <w:r w:rsidRPr="00B26DA9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DA9">
        <w:rPr>
          <w:rFonts w:ascii="Times New Roman" w:hAnsi="Times New Roman" w:cs="Times New Roman"/>
          <w:b/>
          <w:bCs/>
          <w:sz w:val="24"/>
          <w:szCs w:val="24"/>
        </w:rPr>
        <w:t>veiklos planas</w:t>
      </w:r>
    </w:p>
    <w:p w14:paraId="10ECE3D9" w14:textId="6AEDB0CE" w:rsidR="00B26DA9" w:rsidRDefault="00B26DA9" w:rsidP="00B26D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406" w:type="dxa"/>
        <w:tblLook w:val="04A0" w:firstRow="1" w:lastRow="0" w:firstColumn="1" w:lastColumn="0" w:noHBand="0" w:noVBand="1"/>
      </w:tblPr>
      <w:tblGrid>
        <w:gridCol w:w="574"/>
        <w:gridCol w:w="4122"/>
        <w:gridCol w:w="1568"/>
        <w:gridCol w:w="1576"/>
        <w:gridCol w:w="1566"/>
      </w:tblGrid>
      <w:tr w:rsidR="00B36874" w14:paraId="736F2DA1" w14:textId="77777777" w:rsidTr="00D84BF5">
        <w:trPr>
          <w:trHeight w:val="936"/>
        </w:trPr>
        <w:tc>
          <w:tcPr>
            <w:tcW w:w="574" w:type="dxa"/>
          </w:tcPr>
          <w:p w14:paraId="3DDC7840" w14:textId="05BE0498" w:rsidR="00B36874" w:rsidRPr="00B36874" w:rsidRDefault="00B36874" w:rsidP="000A3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22" w:type="dxa"/>
          </w:tcPr>
          <w:p w14:paraId="4DFDF6A8" w14:textId="65C2F62F" w:rsidR="00B36874" w:rsidRPr="00B36874" w:rsidRDefault="00B36874" w:rsidP="000A3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1568" w:type="dxa"/>
          </w:tcPr>
          <w:p w14:paraId="22EC773B" w14:textId="036B6768" w:rsidR="00B36874" w:rsidRPr="00B36874" w:rsidRDefault="00B36874" w:rsidP="000A3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Numatomas preliminarus laikas</w:t>
            </w:r>
          </w:p>
        </w:tc>
        <w:tc>
          <w:tcPr>
            <w:tcW w:w="1576" w:type="dxa"/>
          </w:tcPr>
          <w:p w14:paraId="64A6D0FF" w14:textId="4A6ABDB3" w:rsidR="00B36874" w:rsidRPr="00B36874" w:rsidRDefault="00B36874" w:rsidP="000A3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566" w:type="dxa"/>
          </w:tcPr>
          <w:p w14:paraId="6EACBA2C" w14:textId="7BFC495A" w:rsidR="00B36874" w:rsidRPr="00B36874" w:rsidRDefault="00B36874" w:rsidP="000A3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B26DA9" w14:paraId="5BA9A82F" w14:textId="77777777" w:rsidTr="00D84BF5">
        <w:trPr>
          <w:trHeight w:val="548"/>
        </w:trPr>
        <w:tc>
          <w:tcPr>
            <w:tcW w:w="574" w:type="dxa"/>
          </w:tcPr>
          <w:p w14:paraId="0B367F3D" w14:textId="3A829554" w:rsidR="00B26DA9" w:rsidRPr="000A3030" w:rsidRDefault="00B36874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2" w:type="dxa"/>
          </w:tcPr>
          <w:p w14:paraId="44BC037A" w14:textId="1CDEED6B" w:rsidR="00B26DA9" w:rsidRPr="000A3030" w:rsidRDefault="000A3030" w:rsidP="000A3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VPS metinės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įgyvendinimo ataskaitos rengimas, tvirtinimas ir teikimas Nacionalinei mokėjimo agentūrai.</w:t>
            </w:r>
          </w:p>
        </w:tc>
        <w:tc>
          <w:tcPr>
            <w:tcW w:w="1568" w:type="dxa"/>
          </w:tcPr>
          <w:p w14:paraId="7BDE419F" w14:textId="1E9C0EFD" w:rsidR="00B26DA9" w:rsidRPr="002A7E8F" w:rsidRDefault="002A7E8F" w:rsidP="002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Sausio –mėn.</w:t>
            </w:r>
          </w:p>
        </w:tc>
        <w:tc>
          <w:tcPr>
            <w:tcW w:w="1576" w:type="dxa"/>
          </w:tcPr>
          <w:p w14:paraId="18887CF5" w14:textId="0E278AB6" w:rsidR="00B26DA9" w:rsidRPr="006C7849" w:rsidRDefault="006C7849" w:rsidP="0030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566" w:type="dxa"/>
          </w:tcPr>
          <w:p w14:paraId="472E70C9" w14:textId="77777777" w:rsidR="00B26DA9" w:rsidRDefault="00B26DA9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DA9" w14:paraId="1D6EEE3C" w14:textId="77777777" w:rsidTr="00D84BF5">
        <w:trPr>
          <w:trHeight w:val="528"/>
        </w:trPr>
        <w:tc>
          <w:tcPr>
            <w:tcW w:w="574" w:type="dxa"/>
          </w:tcPr>
          <w:p w14:paraId="16A5F2C3" w14:textId="3BB4366C" w:rsidR="00B26DA9" w:rsidRPr="000A3030" w:rsidRDefault="00B36874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14:paraId="775ED497" w14:textId="79D78D10" w:rsidR="00B26DA9" w:rsidRPr="000A3030" w:rsidRDefault="000A3030" w:rsidP="0031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Patvirtintų kvietimų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D84BF5">
              <w:rPr>
                <w:rFonts w:ascii="Times New Roman" w:hAnsi="Times New Roman" w:cs="Times New Roman"/>
                <w:sz w:val="24"/>
                <w:szCs w:val="24"/>
              </w:rPr>
              <w:t xml:space="preserve">3, Nr.4, Nr. </w:t>
            </w:r>
            <w:r w:rsidR="00310295">
              <w:rPr>
                <w:rFonts w:ascii="Times New Roman" w:hAnsi="Times New Roman" w:cs="Times New Roman"/>
                <w:sz w:val="24"/>
                <w:szCs w:val="24"/>
              </w:rPr>
              <w:t>5, Nr.6, Nr.7 projektų administravimas.</w:t>
            </w:r>
          </w:p>
        </w:tc>
        <w:tc>
          <w:tcPr>
            <w:tcW w:w="1568" w:type="dxa"/>
          </w:tcPr>
          <w:p w14:paraId="0C0E9613" w14:textId="605A8B2F" w:rsidR="00B26DA9" w:rsidRPr="002A7E8F" w:rsidRDefault="002A7E8F" w:rsidP="002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576" w:type="dxa"/>
          </w:tcPr>
          <w:p w14:paraId="26A01C10" w14:textId="007EDF87" w:rsidR="00B26DA9" w:rsidRDefault="005C33FB" w:rsidP="00307B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</w:t>
            </w:r>
          </w:p>
        </w:tc>
        <w:tc>
          <w:tcPr>
            <w:tcW w:w="1566" w:type="dxa"/>
          </w:tcPr>
          <w:p w14:paraId="67615E63" w14:textId="77777777" w:rsidR="00B26DA9" w:rsidRDefault="00B26DA9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DA9" w14:paraId="11CFFBB8" w14:textId="77777777" w:rsidTr="00D84BF5">
        <w:trPr>
          <w:trHeight w:val="528"/>
        </w:trPr>
        <w:tc>
          <w:tcPr>
            <w:tcW w:w="574" w:type="dxa"/>
          </w:tcPr>
          <w:p w14:paraId="43B62759" w14:textId="7B5109EE" w:rsidR="00B26DA9" w:rsidRPr="000A3030" w:rsidRDefault="00B36874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2" w:type="dxa"/>
          </w:tcPr>
          <w:p w14:paraId="3E1059F9" w14:textId="6D90E0FB" w:rsidR="00B26DA9" w:rsidRPr="00310295" w:rsidRDefault="00310295" w:rsidP="00B0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Kvietimo Nr. 6 </w:t>
            </w:r>
            <w:r w:rsidR="006C7849">
              <w:rPr>
                <w:rFonts w:ascii="Times New Roman" w:hAnsi="Times New Roman" w:cs="Times New Roman"/>
                <w:sz w:val="24"/>
                <w:szCs w:val="24"/>
              </w:rPr>
              <w:t xml:space="preserve">vietos projektų pagal priemones </w:t>
            </w:r>
            <w:r w:rsidR="00262F5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62F5B" w:rsidRPr="00262F5B">
              <w:rPr>
                <w:rFonts w:ascii="Times New Roman" w:hAnsi="Times New Roman" w:cs="Times New Roman"/>
                <w:sz w:val="24"/>
                <w:szCs w:val="24"/>
              </w:rPr>
              <w:t xml:space="preserve">NVO socialinio verslo kūrimas ir </w:t>
            </w:r>
            <w:proofErr w:type="gramStart"/>
            <w:r w:rsidR="00262F5B" w:rsidRPr="00262F5B">
              <w:rPr>
                <w:rFonts w:ascii="Times New Roman" w:hAnsi="Times New Roman" w:cs="Times New Roman"/>
                <w:sz w:val="24"/>
                <w:szCs w:val="24"/>
              </w:rPr>
              <w:t>plėtra</w:t>
            </w:r>
            <w:r w:rsidR="00262F5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D84BF5">
              <w:rPr>
                <w:rFonts w:ascii="Times New Roman" w:hAnsi="Times New Roman" w:cs="Times New Roman"/>
                <w:sz w:val="24"/>
                <w:szCs w:val="24"/>
              </w:rPr>
              <w:t>paramos sutarčių sudarymas, administravimas.</w:t>
            </w:r>
          </w:p>
        </w:tc>
        <w:tc>
          <w:tcPr>
            <w:tcW w:w="1568" w:type="dxa"/>
          </w:tcPr>
          <w:p w14:paraId="14587ABA" w14:textId="1F1B8F27" w:rsidR="00B26DA9" w:rsidRPr="002A7E8F" w:rsidRDefault="002A7E8F" w:rsidP="002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576" w:type="dxa"/>
          </w:tcPr>
          <w:p w14:paraId="2169002C" w14:textId="490E1610" w:rsidR="00B26DA9" w:rsidRDefault="005C33FB" w:rsidP="00307B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administracija </w:t>
            </w:r>
          </w:p>
        </w:tc>
        <w:tc>
          <w:tcPr>
            <w:tcW w:w="1566" w:type="dxa"/>
          </w:tcPr>
          <w:p w14:paraId="54386037" w14:textId="77777777" w:rsidR="00B26DA9" w:rsidRDefault="00B26DA9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DA9" w14:paraId="7E1A33FC" w14:textId="77777777" w:rsidTr="00D84BF5">
        <w:trPr>
          <w:trHeight w:val="548"/>
        </w:trPr>
        <w:tc>
          <w:tcPr>
            <w:tcW w:w="574" w:type="dxa"/>
          </w:tcPr>
          <w:p w14:paraId="72F87E3C" w14:textId="142C894C" w:rsidR="00B26DA9" w:rsidRPr="000A3030" w:rsidRDefault="00B36874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2" w:type="dxa"/>
          </w:tcPr>
          <w:p w14:paraId="420FAD12" w14:textId="175A44E8" w:rsidR="00B26DA9" w:rsidRPr="00262F5B" w:rsidRDefault="00262F5B" w:rsidP="00B0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F5B">
              <w:rPr>
                <w:rFonts w:ascii="Times New Roman" w:hAnsi="Times New Roman" w:cs="Times New Roman"/>
                <w:sz w:val="24"/>
                <w:szCs w:val="24"/>
              </w:rPr>
              <w:t>Kvietimo Nr.</w:t>
            </w:r>
            <w:r w:rsidR="00B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6C7849"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vietos projektų pagal priemones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62F5B">
              <w:rPr>
                <w:rFonts w:ascii="Times New Roman" w:hAnsi="Times New Roman" w:cs="Times New Roman"/>
                <w:sz w:val="24"/>
                <w:szCs w:val="24"/>
              </w:rPr>
              <w:t>Vietos projektų pareiškėjų ir vykdytojų mokymas, įgūdžių</w:t>
            </w:r>
            <w:r w:rsidR="00B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5B">
              <w:rPr>
                <w:rFonts w:ascii="Times New Roman" w:hAnsi="Times New Roman" w:cs="Times New Roman"/>
                <w:sz w:val="24"/>
                <w:szCs w:val="24"/>
              </w:rPr>
              <w:t>įgijimas“</w:t>
            </w:r>
            <w:r w:rsidR="00B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F5B">
              <w:rPr>
                <w:rFonts w:ascii="Times New Roman" w:hAnsi="Times New Roman" w:cs="Times New Roman"/>
                <w:sz w:val="24"/>
                <w:szCs w:val="24"/>
              </w:rPr>
              <w:t>vertinimas</w:t>
            </w:r>
            <w:proofErr w:type="gramEnd"/>
            <w:r w:rsidRPr="00262F5B">
              <w:rPr>
                <w:rFonts w:ascii="Times New Roman" w:hAnsi="Times New Roman" w:cs="Times New Roman"/>
                <w:sz w:val="24"/>
                <w:szCs w:val="24"/>
              </w:rPr>
              <w:t>, atranka, tvirtinimas.</w:t>
            </w:r>
          </w:p>
        </w:tc>
        <w:tc>
          <w:tcPr>
            <w:tcW w:w="1568" w:type="dxa"/>
          </w:tcPr>
          <w:p w14:paraId="6E6F6D51" w14:textId="66801B1E" w:rsidR="00B26DA9" w:rsidRPr="002A7E8F" w:rsidRDefault="002A7E8F" w:rsidP="002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576" w:type="dxa"/>
          </w:tcPr>
          <w:p w14:paraId="43C1BE34" w14:textId="71BD5047" w:rsidR="00B26DA9" w:rsidRDefault="005C33FB" w:rsidP="00307B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566" w:type="dxa"/>
          </w:tcPr>
          <w:p w14:paraId="7AAA9B71" w14:textId="77777777" w:rsidR="00B26DA9" w:rsidRDefault="00B26DA9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DA9" w14:paraId="089C4866" w14:textId="77777777" w:rsidTr="00D84BF5">
        <w:trPr>
          <w:trHeight w:val="528"/>
        </w:trPr>
        <w:tc>
          <w:tcPr>
            <w:tcW w:w="574" w:type="dxa"/>
          </w:tcPr>
          <w:p w14:paraId="4E494727" w14:textId="788764EF" w:rsidR="00B26DA9" w:rsidRPr="000A3030" w:rsidRDefault="00B36874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2" w:type="dxa"/>
          </w:tcPr>
          <w:p w14:paraId="6C3B7FB4" w14:textId="4516A7C1" w:rsidR="00B26DA9" w:rsidRPr="00B06199" w:rsidRDefault="00B06199" w:rsidP="00B0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99">
              <w:rPr>
                <w:rFonts w:ascii="Times New Roman" w:hAnsi="Times New Roman" w:cs="Times New Roman"/>
                <w:sz w:val="24"/>
                <w:szCs w:val="24"/>
              </w:rPr>
              <w:t xml:space="preserve">Kvietimo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7849">
              <w:t xml:space="preserve"> </w:t>
            </w:r>
            <w:r w:rsidR="006C7849" w:rsidRPr="006C7849">
              <w:rPr>
                <w:rFonts w:ascii="Times New Roman" w:hAnsi="Times New Roman" w:cs="Times New Roman"/>
                <w:sz w:val="24"/>
                <w:szCs w:val="24"/>
              </w:rPr>
              <w:t>vietos projektų pagal priemones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199">
              <w:rPr>
                <w:rFonts w:ascii="Times New Roman" w:hAnsi="Times New Roman" w:cs="Times New Roman"/>
                <w:sz w:val="24"/>
                <w:szCs w:val="24"/>
              </w:rPr>
              <w:t xml:space="preserve">„Ūkio ir verslo </w:t>
            </w:r>
            <w:proofErr w:type="gramStart"/>
            <w:r w:rsidRPr="00B06199">
              <w:rPr>
                <w:rFonts w:ascii="Times New Roman" w:hAnsi="Times New Roman" w:cs="Times New Roman"/>
                <w:sz w:val="24"/>
                <w:szCs w:val="24"/>
              </w:rPr>
              <w:t>plėtra“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199">
              <w:rPr>
                <w:rFonts w:ascii="Times New Roman" w:hAnsi="Times New Roman" w:cs="Times New Roman"/>
                <w:sz w:val="24"/>
                <w:szCs w:val="24"/>
              </w:rPr>
              <w:t>„Parama ne žemės ūkio verslui kaimo vietovėse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199">
              <w:rPr>
                <w:rFonts w:ascii="Times New Roman" w:hAnsi="Times New Roman" w:cs="Times New Roman"/>
                <w:sz w:val="24"/>
                <w:szCs w:val="24"/>
              </w:rPr>
              <w:t>pradėti“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199">
              <w:rPr>
                <w:rFonts w:ascii="Times New Roman" w:hAnsi="Times New Roman" w:cs="Times New Roman"/>
                <w:sz w:val="24"/>
                <w:szCs w:val="24"/>
              </w:rPr>
              <w:t>vertinimas, atranka, tvirtinimas.</w:t>
            </w:r>
          </w:p>
        </w:tc>
        <w:tc>
          <w:tcPr>
            <w:tcW w:w="1568" w:type="dxa"/>
          </w:tcPr>
          <w:p w14:paraId="419F02BE" w14:textId="6DC00047" w:rsidR="00B26DA9" w:rsidRPr="002A7E8F" w:rsidRDefault="002A7E8F" w:rsidP="002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84BF5">
              <w:rPr>
                <w:rFonts w:ascii="Times New Roman" w:hAnsi="Times New Roman" w:cs="Times New Roman"/>
                <w:sz w:val="24"/>
                <w:szCs w:val="24"/>
              </w:rPr>
              <w:t xml:space="preserve">– II </w:t>
            </w: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ketv.</w:t>
            </w:r>
          </w:p>
        </w:tc>
        <w:tc>
          <w:tcPr>
            <w:tcW w:w="1576" w:type="dxa"/>
          </w:tcPr>
          <w:p w14:paraId="0C3911A9" w14:textId="06BDA636" w:rsidR="00B26DA9" w:rsidRDefault="005C33FB" w:rsidP="00307B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566" w:type="dxa"/>
          </w:tcPr>
          <w:p w14:paraId="046743AF" w14:textId="77777777" w:rsidR="00B26DA9" w:rsidRDefault="00B26DA9" w:rsidP="00B26D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BF5" w14:paraId="05678092" w14:textId="77777777" w:rsidTr="00D84BF5">
        <w:trPr>
          <w:trHeight w:val="528"/>
        </w:trPr>
        <w:tc>
          <w:tcPr>
            <w:tcW w:w="574" w:type="dxa"/>
          </w:tcPr>
          <w:p w14:paraId="6E9230E4" w14:textId="6AF4B1B0" w:rsidR="00D84BF5" w:rsidRPr="000A3030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2" w:type="dxa"/>
          </w:tcPr>
          <w:p w14:paraId="796A91BC" w14:textId="460B4E90" w:rsidR="00D84BF5" w:rsidRPr="00B06199" w:rsidRDefault="00D84BF5" w:rsidP="00D8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Ataskaitinio susirinkimo organizavimas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</w:tcPr>
          <w:p w14:paraId="0865E3B1" w14:textId="3AD1C93F" w:rsidR="00D84BF5" w:rsidRPr="002A7E8F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I-III ketv.</w:t>
            </w:r>
          </w:p>
        </w:tc>
        <w:tc>
          <w:tcPr>
            <w:tcW w:w="1576" w:type="dxa"/>
          </w:tcPr>
          <w:p w14:paraId="47DCC3A9" w14:textId="1D22550C" w:rsidR="00D84BF5" w:rsidRDefault="00D84BF5" w:rsidP="00D84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566" w:type="dxa"/>
          </w:tcPr>
          <w:p w14:paraId="7B4AF35F" w14:textId="77777777" w:rsidR="00D84BF5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BF5" w14:paraId="2705518A" w14:textId="77777777" w:rsidTr="00D84BF5">
        <w:trPr>
          <w:trHeight w:val="528"/>
        </w:trPr>
        <w:tc>
          <w:tcPr>
            <w:tcW w:w="574" w:type="dxa"/>
          </w:tcPr>
          <w:p w14:paraId="6EBC1AA8" w14:textId="7EF660A2" w:rsidR="00D84BF5" w:rsidRPr="000A3030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2" w:type="dxa"/>
          </w:tcPr>
          <w:p w14:paraId="41579305" w14:textId="3E767913" w:rsidR="00D84BF5" w:rsidRPr="006C7849" w:rsidRDefault="00D84BF5" w:rsidP="00D8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3D">
              <w:rPr>
                <w:rFonts w:ascii="Times New Roman" w:hAnsi="Times New Roman" w:cs="Times New Roman"/>
                <w:sz w:val="24"/>
                <w:szCs w:val="24"/>
              </w:rPr>
              <w:t xml:space="preserve">Kvietimo Nr.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1A3D">
              <w:rPr>
                <w:rFonts w:ascii="Times New Roman" w:hAnsi="Times New Roman" w:cs="Times New Roman"/>
                <w:sz w:val="24"/>
                <w:szCs w:val="24"/>
              </w:rPr>
              <w:t xml:space="preserve">     vietos projektų pagal priemonę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A3D">
              <w:rPr>
                <w:rFonts w:ascii="Times New Roman" w:hAnsi="Times New Roman" w:cs="Times New Roman"/>
                <w:sz w:val="24"/>
                <w:szCs w:val="24"/>
              </w:rPr>
              <w:t xml:space="preserve">„Ūkio ir verslo </w:t>
            </w:r>
            <w:proofErr w:type="gramStart"/>
            <w:r w:rsidRPr="00BC1A3D">
              <w:rPr>
                <w:rFonts w:ascii="Times New Roman" w:hAnsi="Times New Roman" w:cs="Times New Roman"/>
                <w:sz w:val="24"/>
                <w:szCs w:val="24"/>
              </w:rPr>
              <w:t>plėtra“ vertinimas</w:t>
            </w:r>
            <w:proofErr w:type="gramEnd"/>
            <w:r w:rsidRPr="00BC1A3D">
              <w:rPr>
                <w:rFonts w:ascii="Times New Roman" w:hAnsi="Times New Roman" w:cs="Times New Roman"/>
                <w:sz w:val="24"/>
                <w:szCs w:val="24"/>
              </w:rPr>
              <w:t>, atranka, tvirtinimas ir sutarčių pasirašmas</w:t>
            </w:r>
            <w:r w:rsidRPr="00BC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8" w:type="dxa"/>
          </w:tcPr>
          <w:p w14:paraId="57B0078C" w14:textId="620FA2A5" w:rsidR="00D84BF5" w:rsidRPr="002A7E8F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576" w:type="dxa"/>
          </w:tcPr>
          <w:p w14:paraId="171E72CF" w14:textId="7504667C" w:rsidR="00D84BF5" w:rsidRDefault="00D84BF5" w:rsidP="00D84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administracija </w:t>
            </w:r>
          </w:p>
        </w:tc>
        <w:tc>
          <w:tcPr>
            <w:tcW w:w="1566" w:type="dxa"/>
          </w:tcPr>
          <w:p w14:paraId="062726BA" w14:textId="77777777" w:rsidR="00D84BF5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BF5" w14:paraId="7EC7778B" w14:textId="77777777" w:rsidTr="00D84BF5">
        <w:trPr>
          <w:trHeight w:val="528"/>
        </w:trPr>
        <w:tc>
          <w:tcPr>
            <w:tcW w:w="574" w:type="dxa"/>
          </w:tcPr>
          <w:p w14:paraId="12A7CD45" w14:textId="49E2AF2F" w:rsidR="00D84BF5" w:rsidRPr="000A3030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22" w:type="dxa"/>
          </w:tcPr>
          <w:p w14:paraId="4A7A839E" w14:textId="3E7A48EE" w:rsidR="00D84BF5" w:rsidRPr="006C7849" w:rsidRDefault="00D84BF5" w:rsidP="00D8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42">
              <w:rPr>
                <w:rFonts w:ascii="Times New Roman" w:hAnsi="Times New Roman" w:cs="Times New Roman"/>
                <w:sz w:val="24"/>
                <w:szCs w:val="24"/>
              </w:rPr>
              <w:t>Dalyvavimas Lietuvos kaimo bendruomenių sąskrydyje.</w:t>
            </w:r>
          </w:p>
        </w:tc>
        <w:tc>
          <w:tcPr>
            <w:tcW w:w="1568" w:type="dxa"/>
          </w:tcPr>
          <w:p w14:paraId="59181D0A" w14:textId="43AAC47D" w:rsidR="00D84BF5" w:rsidRPr="002A7E8F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II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 xml:space="preserve"> (birželio mėn.)</w:t>
            </w:r>
          </w:p>
        </w:tc>
        <w:tc>
          <w:tcPr>
            <w:tcW w:w="1576" w:type="dxa"/>
          </w:tcPr>
          <w:p w14:paraId="0D1EDDE8" w14:textId="3DB4298C" w:rsidR="00D84BF5" w:rsidRDefault="00D84BF5" w:rsidP="00D84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administracija </w:t>
            </w:r>
          </w:p>
        </w:tc>
        <w:tc>
          <w:tcPr>
            <w:tcW w:w="1566" w:type="dxa"/>
          </w:tcPr>
          <w:p w14:paraId="7433B584" w14:textId="77777777" w:rsidR="00D84BF5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BF5" w14:paraId="3CFEC897" w14:textId="77777777" w:rsidTr="00D84BF5">
        <w:trPr>
          <w:trHeight w:val="528"/>
        </w:trPr>
        <w:tc>
          <w:tcPr>
            <w:tcW w:w="574" w:type="dxa"/>
          </w:tcPr>
          <w:p w14:paraId="29F7943F" w14:textId="57475CF6" w:rsidR="00D84BF5" w:rsidRPr="000A3030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22" w:type="dxa"/>
          </w:tcPr>
          <w:p w14:paraId="19FF0669" w14:textId="4DD31ACF" w:rsidR="00D84BF5" w:rsidRDefault="00D84BF5" w:rsidP="00D84B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3D">
              <w:rPr>
                <w:rFonts w:ascii="Times New Roman" w:hAnsi="Times New Roman" w:cs="Times New Roman"/>
                <w:sz w:val="24"/>
                <w:szCs w:val="24"/>
              </w:rPr>
              <w:t>Kvietimo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BC1A3D">
              <w:rPr>
                <w:rFonts w:ascii="Times New Roman" w:hAnsi="Times New Roman" w:cs="Times New Roman"/>
                <w:sz w:val="24"/>
                <w:szCs w:val="24"/>
              </w:rPr>
              <w:t>vietos projektų pagal priemonę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A3D">
              <w:rPr>
                <w:rFonts w:ascii="Times New Roman" w:hAnsi="Times New Roman" w:cs="Times New Roman"/>
                <w:sz w:val="24"/>
                <w:szCs w:val="24"/>
              </w:rPr>
              <w:t>“Kultūros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A3D">
              <w:rPr>
                <w:rFonts w:ascii="Times New Roman" w:hAnsi="Times New Roman" w:cs="Times New Roman"/>
                <w:sz w:val="24"/>
                <w:szCs w:val="24"/>
              </w:rPr>
              <w:t xml:space="preserve">savitumo išsaugojimas, tradicijų </w:t>
            </w:r>
            <w:proofErr w:type="gramStart"/>
            <w:r w:rsidRPr="00BC1A3D">
              <w:rPr>
                <w:rFonts w:ascii="Times New Roman" w:hAnsi="Times New Roman" w:cs="Times New Roman"/>
                <w:sz w:val="24"/>
                <w:szCs w:val="24"/>
              </w:rPr>
              <w:t>tęstinumas“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ir „Vietos pareiškėjų ir vykdytojų mokymas, įgūdžių įgyjimas (kai mokymai susiiję su VPS priemonėmis)“   sutarčių pasirašymas, įgyvendinimas, administravimas ir priežiūra.</w:t>
            </w:r>
          </w:p>
        </w:tc>
        <w:tc>
          <w:tcPr>
            <w:tcW w:w="1568" w:type="dxa"/>
          </w:tcPr>
          <w:p w14:paraId="67A5B598" w14:textId="391BFAA3" w:rsidR="00D84BF5" w:rsidRPr="002A7E8F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576" w:type="dxa"/>
          </w:tcPr>
          <w:p w14:paraId="5B34850C" w14:textId="016B0188" w:rsidR="00D84BF5" w:rsidRDefault="00D84BF5" w:rsidP="00D84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</w:t>
            </w:r>
          </w:p>
        </w:tc>
        <w:tc>
          <w:tcPr>
            <w:tcW w:w="1566" w:type="dxa"/>
          </w:tcPr>
          <w:p w14:paraId="08E10EBB" w14:textId="77777777" w:rsidR="00D84BF5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BF5" w14:paraId="28A1AD62" w14:textId="77777777" w:rsidTr="00D84BF5">
        <w:trPr>
          <w:trHeight w:val="528"/>
        </w:trPr>
        <w:tc>
          <w:tcPr>
            <w:tcW w:w="574" w:type="dxa"/>
          </w:tcPr>
          <w:p w14:paraId="4FEBA89B" w14:textId="1D413318" w:rsidR="00D84BF5" w:rsidRPr="000A3030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22" w:type="dxa"/>
          </w:tcPr>
          <w:p w14:paraId="1EB034A7" w14:textId="1B80F972" w:rsidR="00D84BF5" w:rsidRPr="00BC1A3D" w:rsidRDefault="00D84BF5" w:rsidP="00D8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42">
              <w:rPr>
                <w:rFonts w:ascii="Times New Roman" w:hAnsi="Times New Roman" w:cs="Times New Roman"/>
                <w:sz w:val="24"/>
                <w:szCs w:val="24"/>
              </w:rPr>
              <w:t>Priemonių su išoriniu ženklinimo priemonių rengimas ir gaminimas.</w:t>
            </w:r>
          </w:p>
        </w:tc>
        <w:tc>
          <w:tcPr>
            <w:tcW w:w="1568" w:type="dxa"/>
          </w:tcPr>
          <w:p w14:paraId="68E0A52F" w14:textId="3DEE4A54" w:rsidR="00D84BF5" w:rsidRPr="002A7E8F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II-IV ketv.</w:t>
            </w:r>
          </w:p>
        </w:tc>
        <w:tc>
          <w:tcPr>
            <w:tcW w:w="1576" w:type="dxa"/>
          </w:tcPr>
          <w:p w14:paraId="79A65007" w14:textId="77777777" w:rsidR="00D84BF5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  <w:p w14:paraId="0D2DF6F6" w14:textId="7C5922BC" w:rsidR="00D84BF5" w:rsidRDefault="00D84BF5" w:rsidP="00D84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valdyba</w:t>
            </w:r>
          </w:p>
        </w:tc>
        <w:tc>
          <w:tcPr>
            <w:tcW w:w="1566" w:type="dxa"/>
          </w:tcPr>
          <w:p w14:paraId="3767EAA6" w14:textId="77777777" w:rsidR="00D84BF5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BF5" w14:paraId="73C4F62C" w14:textId="77777777" w:rsidTr="00D84BF5">
        <w:trPr>
          <w:trHeight w:val="528"/>
        </w:trPr>
        <w:tc>
          <w:tcPr>
            <w:tcW w:w="574" w:type="dxa"/>
          </w:tcPr>
          <w:p w14:paraId="63E940CD" w14:textId="65EC1F25" w:rsidR="00D84BF5" w:rsidRPr="000A3030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22" w:type="dxa"/>
          </w:tcPr>
          <w:p w14:paraId="0667E7AC" w14:textId="67D94D0D" w:rsidR="00D84BF5" w:rsidRPr="00654A42" w:rsidRDefault="00D84BF5" w:rsidP="00D8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Kvietimo Nr.  6 vietos projektų pagal priemones „NVO socialinio verslo kūrimas ir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plėtra“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„Pagrindinės paslaugos ir kaimų atnaujinimas kaimo vietovėse“ ir „Vietos pareiškėjų ir vykdytojų mokymas, įgūdžių įgyjimas (kai mokymai susiiję su VPS priemonėmis)“ atranka, tvirtinimas, paramos sutarčių sudarymas, administravimas.</w:t>
            </w:r>
          </w:p>
        </w:tc>
        <w:tc>
          <w:tcPr>
            <w:tcW w:w="1568" w:type="dxa"/>
          </w:tcPr>
          <w:p w14:paraId="5B2F53E0" w14:textId="1D8B3E74" w:rsidR="00D84BF5" w:rsidRPr="002A7E8F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II-I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ketv.</w:t>
            </w:r>
          </w:p>
        </w:tc>
        <w:tc>
          <w:tcPr>
            <w:tcW w:w="1576" w:type="dxa"/>
          </w:tcPr>
          <w:p w14:paraId="41B1A087" w14:textId="27338A43" w:rsidR="00D84BF5" w:rsidRDefault="00D84BF5" w:rsidP="00D84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administracija </w:t>
            </w:r>
          </w:p>
        </w:tc>
        <w:tc>
          <w:tcPr>
            <w:tcW w:w="1566" w:type="dxa"/>
          </w:tcPr>
          <w:p w14:paraId="566820F3" w14:textId="77777777" w:rsidR="00D84BF5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BF5" w14:paraId="25FE7FC8" w14:textId="77777777" w:rsidTr="00D84BF5">
        <w:trPr>
          <w:trHeight w:val="528"/>
        </w:trPr>
        <w:tc>
          <w:tcPr>
            <w:tcW w:w="574" w:type="dxa"/>
          </w:tcPr>
          <w:p w14:paraId="44284BA4" w14:textId="4C958E5E" w:rsidR="00D84BF5" w:rsidRPr="000A3030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22" w:type="dxa"/>
          </w:tcPr>
          <w:p w14:paraId="58EA9D21" w14:textId="2D159E9F" w:rsidR="00D84BF5" w:rsidRPr="00654A42" w:rsidRDefault="00D84BF5" w:rsidP="00D8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42">
              <w:rPr>
                <w:rFonts w:ascii="Times New Roman" w:hAnsi="Times New Roman" w:cs="Times New Roman"/>
                <w:sz w:val="24"/>
                <w:szCs w:val="24"/>
              </w:rPr>
              <w:t xml:space="preserve">Kvietimo Nr.  </w:t>
            </w:r>
            <w:r w:rsidR="00E75B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A42">
              <w:rPr>
                <w:rFonts w:ascii="Times New Roman" w:hAnsi="Times New Roman" w:cs="Times New Roman"/>
                <w:sz w:val="24"/>
                <w:szCs w:val="24"/>
              </w:rPr>
              <w:t xml:space="preserve">     vietos projektų pagal priemones „Kultūros savitumo išsaugojimas, tradicijų </w:t>
            </w:r>
            <w:proofErr w:type="gramStart"/>
            <w:r w:rsidRPr="00654A42">
              <w:rPr>
                <w:rFonts w:ascii="Times New Roman" w:hAnsi="Times New Roman" w:cs="Times New Roman"/>
                <w:sz w:val="24"/>
                <w:szCs w:val="24"/>
              </w:rPr>
              <w:t>tęstinumas“ dokumentacijos</w:t>
            </w:r>
            <w:proofErr w:type="gramEnd"/>
            <w:r w:rsidRPr="00654A42">
              <w:rPr>
                <w:rFonts w:ascii="Times New Roman" w:hAnsi="Times New Roman" w:cs="Times New Roman"/>
                <w:sz w:val="24"/>
                <w:szCs w:val="24"/>
              </w:rPr>
              <w:t xml:space="preserve"> rengimas, kvietimas ir kt. Priemonių pagal poreikį skelbimas.</w:t>
            </w:r>
          </w:p>
        </w:tc>
        <w:tc>
          <w:tcPr>
            <w:tcW w:w="1568" w:type="dxa"/>
          </w:tcPr>
          <w:p w14:paraId="3B9AF0ED" w14:textId="3FE1C2BE" w:rsidR="00D84BF5" w:rsidRPr="002A7E8F" w:rsidRDefault="00D84BF5" w:rsidP="00D8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III-IV ketv.</w:t>
            </w:r>
          </w:p>
        </w:tc>
        <w:tc>
          <w:tcPr>
            <w:tcW w:w="1576" w:type="dxa"/>
          </w:tcPr>
          <w:p w14:paraId="42198A31" w14:textId="52F8BA6E" w:rsidR="00D84BF5" w:rsidRDefault="00D84BF5" w:rsidP="00D84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566" w:type="dxa"/>
          </w:tcPr>
          <w:p w14:paraId="68D74853" w14:textId="77777777" w:rsidR="00D84BF5" w:rsidRDefault="00D84BF5" w:rsidP="00D84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5D48A032" w14:textId="77777777" w:rsidTr="00D84BF5">
        <w:trPr>
          <w:trHeight w:val="528"/>
        </w:trPr>
        <w:tc>
          <w:tcPr>
            <w:tcW w:w="574" w:type="dxa"/>
          </w:tcPr>
          <w:p w14:paraId="10BD996F" w14:textId="3A6D793D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22" w:type="dxa"/>
          </w:tcPr>
          <w:p w14:paraId="54B3F597" w14:textId="616C8579" w:rsidR="00E75B70" w:rsidRPr="00654A42" w:rsidRDefault="00E75B70" w:rsidP="00E7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E65">
              <w:rPr>
                <w:rFonts w:ascii="Times New Roman" w:hAnsi="Times New Roman" w:cs="Times New Roman"/>
                <w:sz w:val="24"/>
                <w:szCs w:val="24"/>
              </w:rPr>
              <w:t>Tradicinio baidarių žygio organizavimas.</w:t>
            </w:r>
          </w:p>
        </w:tc>
        <w:tc>
          <w:tcPr>
            <w:tcW w:w="1568" w:type="dxa"/>
          </w:tcPr>
          <w:p w14:paraId="16E17986" w14:textId="1B496048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III ketv.</w:t>
            </w:r>
          </w:p>
        </w:tc>
        <w:tc>
          <w:tcPr>
            <w:tcW w:w="1576" w:type="dxa"/>
          </w:tcPr>
          <w:p w14:paraId="68FF5E28" w14:textId="77777777" w:rsidR="00E75B70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  <w:p w14:paraId="62FFD116" w14:textId="27CC009F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valdyba</w:t>
            </w:r>
          </w:p>
        </w:tc>
        <w:tc>
          <w:tcPr>
            <w:tcW w:w="1566" w:type="dxa"/>
          </w:tcPr>
          <w:p w14:paraId="0B0516CE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220C0D95" w14:textId="77777777" w:rsidTr="00D84BF5">
        <w:trPr>
          <w:trHeight w:val="528"/>
        </w:trPr>
        <w:tc>
          <w:tcPr>
            <w:tcW w:w="574" w:type="dxa"/>
          </w:tcPr>
          <w:p w14:paraId="44ADB556" w14:textId="2D2C534D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22" w:type="dxa"/>
          </w:tcPr>
          <w:p w14:paraId="57127038" w14:textId="2E59BE01" w:rsidR="00E75B70" w:rsidRPr="00654A42" w:rsidRDefault="00E75B70" w:rsidP="00E7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E65">
              <w:rPr>
                <w:rFonts w:ascii="Times New Roman" w:hAnsi="Times New Roman" w:cs="Times New Roman"/>
                <w:sz w:val="24"/>
                <w:szCs w:val="24"/>
              </w:rPr>
              <w:t xml:space="preserve">Medžiagos rengimas internet svetainei </w:t>
            </w:r>
            <w:hyperlink r:id="rId4" w:history="1">
              <w:r w:rsidRPr="00DD1E65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www.raseiniuvvg.lt</w:t>
              </w:r>
            </w:hyperlink>
            <w:r w:rsidRPr="00DD1E65">
              <w:rPr>
                <w:rFonts w:ascii="Times New Roman" w:hAnsi="Times New Roman" w:cs="Times New Roman"/>
                <w:sz w:val="24"/>
                <w:szCs w:val="24"/>
              </w:rPr>
              <w:t xml:space="preserve"> nuolatinis joje pateikiamos informacijos atnaujinimas, VPS įgyvendinimo eigos ir rezultatų viešinimas.</w:t>
            </w:r>
          </w:p>
        </w:tc>
        <w:tc>
          <w:tcPr>
            <w:tcW w:w="1568" w:type="dxa"/>
          </w:tcPr>
          <w:p w14:paraId="7967F539" w14:textId="43DAF3D8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576" w:type="dxa"/>
          </w:tcPr>
          <w:p w14:paraId="24378697" w14:textId="41C98A3F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administracija </w:t>
            </w:r>
          </w:p>
        </w:tc>
        <w:tc>
          <w:tcPr>
            <w:tcW w:w="1566" w:type="dxa"/>
          </w:tcPr>
          <w:p w14:paraId="01332481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65307B86" w14:textId="77777777" w:rsidTr="00D84BF5">
        <w:trPr>
          <w:trHeight w:val="528"/>
        </w:trPr>
        <w:tc>
          <w:tcPr>
            <w:tcW w:w="574" w:type="dxa"/>
          </w:tcPr>
          <w:p w14:paraId="520B8433" w14:textId="1DD43E52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22" w:type="dxa"/>
          </w:tcPr>
          <w:p w14:paraId="1EDB73CB" w14:textId="0A07C961" w:rsidR="00E75B70" w:rsidRPr="00DD1E65" w:rsidRDefault="00E75B70" w:rsidP="00E75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tinklo „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Facebook“ medžiagos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rengimas, nuolatinis jame pateikiamos informacijos atnaujinimas.</w:t>
            </w:r>
          </w:p>
        </w:tc>
        <w:tc>
          <w:tcPr>
            <w:tcW w:w="1568" w:type="dxa"/>
          </w:tcPr>
          <w:p w14:paraId="63F5EF5C" w14:textId="67C54276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576" w:type="dxa"/>
          </w:tcPr>
          <w:p w14:paraId="6CEC9A99" w14:textId="159399DD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administracija </w:t>
            </w:r>
          </w:p>
        </w:tc>
        <w:tc>
          <w:tcPr>
            <w:tcW w:w="1566" w:type="dxa"/>
          </w:tcPr>
          <w:p w14:paraId="4BF3DB4A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4869F6B7" w14:textId="77777777" w:rsidTr="00D84BF5">
        <w:trPr>
          <w:trHeight w:val="528"/>
        </w:trPr>
        <w:tc>
          <w:tcPr>
            <w:tcW w:w="574" w:type="dxa"/>
          </w:tcPr>
          <w:p w14:paraId="409B6D22" w14:textId="77E8C0ED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22" w:type="dxa"/>
          </w:tcPr>
          <w:p w14:paraId="25B69AA1" w14:textId="32DFBBA7" w:rsidR="00E75B70" w:rsidRPr="00DD1E65" w:rsidRDefault="00E75B70" w:rsidP="00E7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Informacinių skelbimų, pranešimų rengimas, siuntimas el. paštu, el. pašto kontaktų atnaujinimas.</w:t>
            </w:r>
          </w:p>
        </w:tc>
        <w:tc>
          <w:tcPr>
            <w:tcW w:w="1568" w:type="dxa"/>
          </w:tcPr>
          <w:p w14:paraId="6956CDD4" w14:textId="4C2EC95D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576" w:type="dxa"/>
          </w:tcPr>
          <w:p w14:paraId="422338D3" w14:textId="39EFCA81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administracija </w:t>
            </w:r>
          </w:p>
        </w:tc>
        <w:tc>
          <w:tcPr>
            <w:tcW w:w="1566" w:type="dxa"/>
          </w:tcPr>
          <w:p w14:paraId="5C47C553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3476683B" w14:textId="77777777" w:rsidTr="00D84BF5">
        <w:trPr>
          <w:trHeight w:val="528"/>
        </w:trPr>
        <w:tc>
          <w:tcPr>
            <w:tcW w:w="574" w:type="dxa"/>
          </w:tcPr>
          <w:p w14:paraId="14E2286D" w14:textId="588C220C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22" w:type="dxa"/>
          </w:tcPr>
          <w:p w14:paraId="433588FB" w14:textId="3AE6F48C" w:rsidR="00E75B70" w:rsidRPr="00DD1E65" w:rsidRDefault="00E75B70" w:rsidP="00E7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Informacinių renginių, konferencijos apie VPS įgyvendinimo eigą organizavimas.</w:t>
            </w:r>
          </w:p>
        </w:tc>
        <w:tc>
          <w:tcPr>
            <w:tcW w:w="1568" w:type="dxa"/>
          </w:tcPr>
          <w:p w14:paraId="77D4E58A" w14:textId="49408403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576" w:type="dxa"/>
          </w:tcPr>
          <w:p w14:paraId="3D76CF9A" w14:textId="4B15492C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566" w:type="dxa"/>
          </w:tcPr>
          <w:p w14:paraId="12071327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0DA1FBB6" w14:textId="77777777" w:rsidTr="00D84BF5">
        <w:trPr>
          <w:trHeight w:val="528"/>
        </w:trPr>
        <w:tc>
          <w:tcPr>
            <w:tcW w:w="574" w:type="dxa"/>
          </w:tcPr>
          <w:p w14:paraId="3FFEF4E4" w14:textId="030E4B88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22" w:type="dxa"/>
          </w:tcPr>
          <w:p w14:paraId="33059BC8" w14:textId="12B971F9" w:rsidR="00E75B70" w:rsidRPr="00DD1E65" w:rsidRDefault="00E75B70" w:rsidP="00E7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VPS eigos pristatymas dalyvaujant NVO, VVG narių susirinkimuose ir kt. renginiuose.</w:t>
            </w:r>
          </w:p>
        </w:tc>
        <w:tc>
          <w:tcPr>
            <w:tcW w:w="1568" w:type="dxa"/>
          </w:tcPr>
          <w:p w14:paraId="79361009" w14:textId="6F561F17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576" w:type="dxa"/>
          </w:tcPr>
          <w:p w14:paraId="55F3BA0D" w14:textId="77777777" w:rsidR="00E75B70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pirmininkas, administracija</w:t>
            </w:r>
          </w:p>
          <w:p w14:paraId="2A1214F1" w14:textId="023578F1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valdyba</w:t>
            </w:r>
          </w:p>
        </w:tc>
        <w:tc>
          <w:tcPr>
            <w:tcW w:w="1566" w:type="dxa"/>
          </w:tcPr>
          <w:p w14:paraId="12BA3C24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45633A3D" w14:textId="77777777" w:rsidTr="00D84BF5">
        <w:trPr>
          <w:trHeight w:val="528"/>
        </w:trPr>
        <w:tc>
          <w:tcPr>
            <w:tcW w:w="574" w:type="dxa"/>
          </w:tcPr>
          <w:p w14:paraId="6E6E13BA" w14:textId="01673522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22" w:type="dxa"/>
          </w:tcPr>
          <w:p w14:paraId="0FF7C880" w14:textId="735BAE7F" w:rsidR="00E75B70" w:rsidRPr="005C33FB" w:rsidRDefault="00E75B70" w:rsidP="00E7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FB">
              <w:rPr>
                <w:rFonts w:ascii="Times New Roman" w:hAnsi="Times New Roman" w:cs="Times New Roman"/>
                <w:sz w:val="24"/>
                <w:szCs w:val="24"/>
              </w:rPr>
              <w:t>Dalyvavimas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C33FB">
              <w:rPr>
                <w:rFonts w:ascii="Times New Roman" w:hAnsi="Times New Roman" w:cs="Times New Roman"/>
                <w:sz w:val="24"/>
                <w:szCs w:val="24"/>
              </w:rPr>
              <w:t>metų rajono kaimo bendruomenių veiklos apibendrinimo renginyje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</w:tcPr>
          <w:p w14:paraId="2FD388C7" w14:textId="23067093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8F"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576" w:type="dxa"/>
          </w:tcPr>
          <w:p w14:paraId="49196AF4" w14:textId="77777777" w:rsidR="00E75B70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49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pirmininkas, administracija</w:t>
            </w:r>
          </w:p>
          <w:p w14:paraId="61330F8F" w14:textId="6F28EB47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valdyba</w:t>
            </w:r>
          </w:p>
        </w:tc>
        <w:tc>
          <w:tcPr>
            <w:tcW w:w="1566" w:type="dxa"/>
          </w:tcPr>
          <w:p w14:paraId="7EE8D5E9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3DF9FDB9" w14:textId="77777777" w:rsidTr="00D84BF5">
        <w:trPr>
          <w:trHeight w:val="528"/>
        </w:trPr>
        <w:tc>
          <w:tcPr>
            <w:tcW w:w="574" w:type="dxa"/>
          </w:tcPr>
          <w:p w14:paraId="6C2CC99F" w14:textId="34D38D9D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22" w:type="dxa"/>
          </w:tcPr>
          <w:p w14:paraId="0D3FD2C0" w14:textId="0696BAC7" w:rsidR="00E75B70" w:rsidRPr="005C33FB" w:rsidRDefault="00E75B70" w:rsidP="00E7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484B822" w14:textId="679CD4A5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298ECE2" w14:textId="68BAF6D9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FC46F98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B70" w14:paraId="15C8A941" w14:textId="77777777" w:rsidTr="00D84BF5">
        <w:trPr>
          <w:trHeight w:val="528"/>
        </w:trPr>
        <w:tc>
          <w:tcPr>
            <w:tcW w:w="574" w:type="dxa"/>
          </w:tcPr>
          <w:p w14:paraId="77D65C23" w14:textId="08953F01" w:rsidR="00E75B70" w:rsidRPr="000A303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22" w:type="dxa"/>
          </w:tcPr>
          <w:p w14:paraId="7599A046" w14:textId="4D1F3D00" w:rsidR="00E75B70" w:rsidRPr="005C33FB" w:rsidRDefault="00E75B70" w:rsidP="00E7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1A69D7C" w14:textId="1575392D" w:rsidR="00E75B70" w:rsidRPr="002A7E8F" w:rsidRDefault="00E75B70" w:rsidP="00E7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FF461DC" w14:textId="73EAE58D" w:rsidR="00E75B70" w:rsidRDefault="00E75B70" w:rsidP="00E75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D5AF729" w14:textId="77777777" w:rsidR="00E75B70" w:rsidRDefault="00E75B70" w:rsidP="00E7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A4B8C9" w14:textId="77777777" w:rsidR="00B26DA9" w:rsidRPr="00B26DA9" w:rsidRDefault="00B26DA9" w:rsidP="00B26D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F4674" w14:textId="59EEB631" w:rsidR="00B26DA9" w:rsidRDefault="00B26DA9" w:rsidP="00B26D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05EC7" w14:textId="15D0BE21" w:rsidR="00B26DA9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AB68F" w14:textId="0FDA32C4" w:rsidR="00B26DA9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A4020" w14:textId="77777777" w:rsidR="00B26DA9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080D5" w14:textId="44BB4585" w:rsidR="00B26DA9" w:rsidRDefault="00B26DA9" w:rsidP="00B26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66C67F" w14:textId="04D9E569" w:rsidR="00B26DA9" w:rsidRPr="00B26DA9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29682" w14:textId="25D7E68C" w:rsidR="00B26DA9" w:rsidRPr="00B26DA9" w:rsidRDefault="00B26DA9" w:rsidP="00B26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6DA9" w:rsidRPr="00B26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A9"/>
    <w:rsid w:val="000A3030"/>
    <w:rsid w:val="00262F5B"/>
    <w:rsid w:val="00266B6C"/>
    <w:rsid w:val="002A7E8F"/>
    <w:rsid w:val="00307B38"/>
    <w:rsid w:val="00310295"/>
    <w:rsid w:val="005C33FB"/>
    <w:rsid w:val="00640D0B"/>
    <w:rsid w:val="00654A42"/>
    <w:rsid w:val="006C7849"/>
    <w:rsid w:val="00943C29"/>
    <w:rsid w:val="00B06199"/>
    <w:rsid w:val="00B26DA9"/>
    <w:rsid w:val="00B27164"/>
    <w:rsid w:val="00B36874"/>
    <w:rsid w:val="00BC1A3D"/>
    <w:rsid w:val="00CA5DC7"/>
    <w:rsid w:val="00D84BF5"/>
    <w:rsid w:val="00DD1E65"/>
    <w:rsid w:val="00E75B70"/>
    <w:rsid w:val="00F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849"/>
  <w15:chartTrackingRefBased/>
  <w15:docId w15:val="{E6F3795F-BDC2-4D61-BFE1-6E30D69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2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D1E6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1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einiuvvg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2259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Irena Dapkuvienė</cp:lastModifiedBy>
  <cp:revision>5</cp:revision>
  <dcterms:created xsi:type="dcterms:W3CDTF">2023-01-03T07:46:00Z</dcterms:created>
  <dcterms:modified xsi:type="dcterms:W3CDTF">2023-01-03T07:49:00Z</dcterms:modified>
</cp:coreProperties>
</file>